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19424" w14:textId="5C87557A" w:rsidR="00316F20" w:rsidRPr="00E833EA" w:rsidRDefault="00316F20">
      <w:pPr>
        <w:spacing w:after="70"/>
        <w:jc w:val="center"/>
        <w:rPr>
          <w:sz w:val="22"/>
          <w:szCs w:val="22"/>
        </w:rPr>
      </w:pPr>
    </w:p>
    <w:p w14:paraId="071D3127" w14:textId="49A51C27" w:rsidR="00316F20" w:rsidRPr="00E833EA" w:rsidRDefault="00000000">
      <w:pPr>
        <w:spacing w:after="60"/>
        <w:jc w:val="center"/>
        <w:rPr>
          <w:sz w:val="22"/>
          <w:szCs w:val="22"/>
        </w:rPr>
      </w:pPr>
      <w:r w:rsidRPr="00E833EA">
        <w:rPr>
          <w:b/>
          <w:bCs/>
          <w:color w:val="1F3864"/>
          <w:sz w:val="28"/>
          <w:szCs w:val="28"/>
        </w:rPr>
        <w:t>Structural Health Monitoring (SHM) and Non-destructive Testing (NDT)</w:t>
      </w:r>
    </w:p>
    <w:p w14:paraId="05F35341" w14:textId="27CA32E5" w:rsidR="00316F20" w:rsidRDefault="00000000">
      <w:pPr>
        <w:spacing w:after="70"/>
        <w:jc w:val="center"/>
      </w:pPr>
      <w:r>
        <w:rPr>
          <w:b/>
          <w:bCs/>
          <w:color w:val="1F3864"/>
          <w:sz w:val="18"/>
          <w:szCs w:val="18"/>
        </w:rPr>
        <w:t xml:space="preserve">Have a structure (building, bridge, wind turbine, industrial facility, railway track, roads, or similar)? </w:t>
      </w:r>
      <w:r>
        <w:rPr>
          <w:b/>
          <w:bCs/>
          <w:color w:val="1F3864"/>
          <w:sz w:val="18"/>
          <w:szCs w:val="18"/>
          <w:u w:val="single"/>
        </w:rPr>
        <w:t>Do you want to: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15"/>
        <w:gridCol w:w="4049"/>
        <w:gridCol w:w="3526"/>
      </w:tblGrid>
      <w:tr w:rsidR="00316F20" w14:paraId="668D7DD6" w14:textId="77777777" w:rsidTr="00ED1D2D">
        <w:tc>
          <w:tcPr>
            <w:tcW w:w="1554" w:type="pct"/>
            <w:tcBorders>
              <w:top w:val="single" w:sz="4" w:space="0" w:color="FFFFFF"/>
              <w:left w:val="single" w:sz="4" w:space="0" w:color="FFFFFF"/>
              <w:bottom w:val="single" w:sz="4" w:space="0" w:color="FFFFFF"/>
              <w:right w:val="single" w:sz="4" w:space="0" w:color="FFFFFF"/>
            </w:tcBorders>
            <w:shd w:val="clear" w:color="auto" w:fill="7A0000"/>
            <w:tcMar>
              <w:top w:w="40" w:type="dxa"/>
              <w:left w:w="80" w:type="dxa"/>
              <w:bottom w:w="40" w:type="dxa"/>
              <w:right w:w="80" w:type="dxa"/>
            </w:tcMar>
          </w:tcPr>
          <w:p w14:paraId="62CD8CEC" w14:textId="77777777" w:rsidR="00316F20" w:rsidRPr="00560D30" w:rsidRDefault="00000000">
            <w:pPr>
              <w:jc w:val="center"/>
              <w:rPr>
                <w:color w:val="FFFFFF" w:themeColor="background1"/>
              </w:rPr>
            </w:pPr>
            <w:r w:rsidRPr="00560D30">
              <w:rPr>
                <w:b/>
                <w:bCs/>
                <w:color w:val="FFFFFF" w:themeColor="background1"/>
                <w:sz w:val="18"/>
                <w:szCs w:val="18"/>
              </w:rPr>
              <w:t>INSPECT</w:t>
            </w:r>
          </w:p>
        </w:tc>
        <w:tc>
          <w:tcPr>
            <w:tcW w:w="1842" w:type="pct"/>
            <w:tcBorders>
              <w:top w:val="single" w:sz="4" w:space="0" w:color="FFFFFF"/>
              <w:left w:val="single" w:sz="4" w:space="0" w:color="FFFFFF"/>
              <w:bottom w:val="single" w:sz="4" w:space="0" w:color="FFFFFF"/>
              <w:right w:val="single" w:sz="4" w:space="0" w:color="FFFFFF"/>
            </w:tcBorders>
            <w:shd w:val="clear" w:color="auto" w:fill="7A0000"/>
            <w:tcMar>
              <w:top w:w="40" w:type="dxa"/>
              <w:left w:w="80" w:type="dxa"/>
              <w:bottom w:w="40" w:type="dxa"/>
              <w:right w:w="80" w:type="dxa"/>
            </w:tcMar>
          </w:tcPr>
          <w:p w14:paraId="02A42F4D" w14:textId="77777777" w:rsidR="00316F20" w:rsidRPr="00560D30" w:rsidRDefault="00000000">
            <w:pPr>
              <w:jc w:val="center"/>
              <w:rPr>
                <w:color w:val="FFFFFF" w:themeColor="background1"/>
              </w:rPr>
            </w:pPr>
            <w:r w:rsidRPr="00560D30">
              <w:rPr>
                <w:b/>
                <w:bCs/>
                <w:color w:val="FFFFFF" w:themeColor="background1"/>
                <w:sz w:val="18"/>
                <w:szCs w:val="18"/>
              </w:rPr>
              <w:t>MONITOR</w:t>
            </w:r>
          </w:p>
        </w:tc>
        <w:tc>
          <w:tcPr>
            <w:tcW w:w="1604" w:type="pct"/>
            <w:tcBorders>
              <w:top w:val="single" w:sz="4" w:space="0" w:color="FFFFFF"/>
              <w:left w:val="single" w:sz="4" w:space="0" w:color="FFFFFF"/>
              <w:bottom w:val="single" w:sz="4" w:space="0" w:color="FFFFFF"/>
              <w:right w:val="single" w:sz="4" w:space="0" w:color="FFFFFF"/>
            </w:tcBorders>
            <w:shd w:val="clear" w:color="auto" w:fill="7A0000"/>
            <w:tcMar>
              <w:top w:w="40" w:type="dxa"/>
              <w:left w:w="80" w:type="dxa"/>
              <w:bottom w:w="40" w:type="dxa"/>
              <w:right w:w="80" w:type="dxa"/>
            </w:tcMar>
          </w:tcPr>
          <w:p w14:paraId="6FB75039" w14:textId="77777777" w:rsidR="00316F20" w:rsidRPr="00560D30" w:rsidRDefault="00000000">
            <w:pPr>
              <w:jc w:val="center"/>
              <w:rPr>
                <w:color w:val="FFFFFF" w:themeColor="background1"/>
              </w:rPr>
            </w:pPr>
            <w:r w:rsidRPr="00560D30">
              <w:rPr>
                <w:b/>
                <w:bCs/>
                <w:color w:val="FFFFFF" w:themeColor="background1"/>
                <w:sz w:val="18"/>
                <w:szCs w:val="18"/>
              </w:rPr>
              <w:t>MODEL</w:t>
            </w:r>
          </w:p>
        </w:tc>
      </w:tr>
      <w:tr w:rsidR="00316F20" w14:paraId="65A148FF" w14:textId="77777777" w:rsidTr="00ED1D2D">
        <w:tc>
          <w:tcPr>
            <w:tcW w:w="1554" w:type="pct"/>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D21777F" w14:textId="3272CAAF" w:rsidR="00316F20" w:rsidRDefault="00B21F64">
            <w:pPr>
              <w:jc w:val="center"/>
            </w:pPr>
            <w:r>
              <w:rPr>
                <w:b/>
                <w:bCs/>
                <w:color w:val="1F3864"/>
                <w:sz w:val="16"/>
                <w:szCs w:val="16"/>
              </w:rPr>
              <w:t>Assess the current condition (do any defects or deterioration exist?)</w:t>
            </w:r>
          </w:p>
        </w:tc>
        <w:tc>
          <w:tcPr>
            <w:tcW w:w="1842" w:type="pct"/>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7F22D88" w14:textId="1C0D5A65" w:rsidR="00316F20" w:rsidRDefault="00B21F64">
            <w:pPr>
              <w:jc w:val="center"/>
            </w:pPr>
            <w:r>
              <w:rPr>
                <w:b/>
                <w:bCs/>
                <w:color w:val="1F3864"/>
                <w:sz w:val="16"/>
                <w:szCs w:val="16"/>
              </w:rPr>
              <w:t>Perform long-term monitoring under conditions such as earthquakes, corrosion, deterioration, extreme winds, operational conditions, and similar?</w:t>
            </w:r>
          </w:p>
        </w:tc>
        <w:tc>
          <w:tcPr>
            <w:tcW w:w="1604" w:type="pct"/>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0C9B7E9" w14:textId="1382B5B6" w:rsidR="00316F20" w:rsidRDefault="00B21F64">
            <w:pPr>
              <w:jc w:val="center"/>
            </w:pPr>
            <w:r>
              <w:rPr>
                <w:b/>
                <w:bCs/>
                <w:color w:val="1F3864"/>
                <w:sz w:val="16"/>
                <w:szCs w:val="16"/>
              </w:rPr>
              <w:t>Update the numerical or analytical model of the structure based on the measurements for more reliable simulations?</w:t>
            </w:r>
          </w:p>
        </w:tc>
      </w:tr>
    </w:tbl>
    <w:p w14:paraId="777A594B" w14:textId="77777777" w:rsidR="00316F20" w:rsidRPr="00560D30" w:rsidRDefault="00000000">
      <w:pPr>
        <w:spacing w:before="100" w:after="30"/>
        <w:jc w:val="center"/>
        <w:rPr>
          <w:color w:val="9A0000"/>
          <w:sz w:val="22"/>
          <w:szCs w:val="22"/>
        </w:rPr>
      </w:pPr>
      <w:r w:rsidRPr="00560D30">
        <w:rPr>
          <w:b/>
          <w:bCs/>
          <w:color w:val="9A0000"/>
          <w:sz w:val="22"/>
          <w:szCs w:val="22"/>
        </w:rPr>
        <w:t>Then, SHM and NDT are for you!</w:t>
      </w:r>
    </w:p>
    <w:p w14:paraId="2BC07959" w14:textId="77777777" w:rsidR="00316F20" w:rsidRDefault="00000000" w:rsidP="00B6551C">
      <w:pPr>
        <w:jc w:val="center"/>
        <w:rPr>
          <w:i/>
          <w:iCs/>
          <w:color w:val="5A6473"/>
        </w:rPr>
      </w:pPr>
      <w:r w:rsidRPr="00560D30">
        <w:rPr>
          <w:i/>
          <w:iCs/>
          <w:color w:val="5A6473"/>
        </w:rPr>
        <w:t>It allows you to monitor and inspect your structures for any structural problems.</w:t>
      </w:r>
    </w:p>
    <w:p w14:paraId="1FDED359" w14:textId="77777777" w:rsidR="00560D30" w:rsidRPr="00A21E70" w:rsidRDefault="00560D30">
      <w:pPr>
        <w:spacing w:after="90"/>
        <w:jc w:val="center"/>
        <w:rPr>
          <w:sz w:val="2"/>
          <w:szCs w:val="2"/>
        </w:rPr>
      </w:pPr>
    </w:p>
    <w:tbl>
      <w:tblPr>
        <w:tblW w:w="5000" w:type="pct"/>
        <w:tblBorders>
          <w:top w:val="single" w:sz="6" w:space="0" w:color="030E13"/>
          <w:left w:val="single" w:sz="6" w:space="0" w:color="030E13"/>
          <w:bottom w:val="single" w:sz="6" w:space="0" w:color="030E13"/>
          <w:right w:val="single" w:sz="6" w:space="0" w:color="030E13"/>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984"/>
      </w:tblGrid>
      <w:tr w:rsidR="00560D30" w:rsidRPr="00560D30" w14:paraId="5E094E44" w14:textId="77777777" w:rsidTr="00560D30">
        <w:trPr>
          <w:trHeight w:val="133"/>
        </w:trPr>
        <w:tc>
          <w:tcPr>
            <w:tcW w:w="5000" w:type="pct"/>
            <w:shd w:val="clear" w:color="auto" w:fill="7A0000"/>
            <w:tcMar>
              <w:top w:w="30" w:type="dxa"/>
              <w:left w:w="120" w:type="dxa"/>
              <w:bottom w:w="30" w:type="dxa"/>
              <w:right w:w="120" w:type="dxa"/>
            </w:tcMar>
          </w:tcPr>
          <w:p w14:paraId="247956F2" w14:textId="22FC4274" w:rsidR="00560D30" w:rsidRPr="00560D30" w:rsidRDefault="00560D30" w:rsidP="000F2D61">
            <w:pPr>
              <w:rPr>
                <w:color w:val="FFFFFF" w:themeColor="background1"/>
              </w:rPr>
            </w:pPr>
            <w:r w:rsidRPr="00560D30">
              <w:rPr>
                <w:b/>
                <w:bCs/>
                <w:color w:val="FFFFFF" w:themeColor="background1"/>
                <w:sz w:val="19"/>
                <w:szCs w:val="19"/>
              </w:rPr>
              <w:t>HOW IT WORKS</w:t>
            </w:r>
            <w:r w:rsidR="002367EB">
              <w:rPr>
                <w:b/>
                <w:bCs/>
                <w:color w:val="FFFFFF" w:themeColor="background1"/>
                <w:sz w:val="19"/>
                <w:szCs w:val="19"/>
              </w:rPr>
              <w:t>?</w:t>
            </w:r>
          </w:p>
        </w:tc>
      </w:tr>
    </w:tbl>
    <w:p w14:paraId="6B45FBEB" w14:textId="77777777" w:rsidR="00316F20" w:rsidRDefault="00316F20">
      <w:pPr>
        <w:spacing w:before="32" w:after="10" w:line="20" w:lineRule="exact"/>
      </w:pPr>
    </w:p>
    <w:tbl>
      <w:tblPr>
        <w:tblW w:w="5000" w:type="pct"/>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20"/>
        <w:gridCol w:w="440"/>
        <w:gridCol w:w="2420"/>
        <w:gridCol w:w="440"/>
        <w:gridCol w:w="2420"/>
        <w:gridCol w:w="440"/>
        <w:gridCol w:w="2420"/>
      </w:tblGrid>
      <w:tr w:rsidR="00316F20" w14:paraId="0122676F" w14:textId="77777777" w:rsidTr="00685D94">
        <w:trPr>
          <w:trHeight w:val="781"/>
        </w:trPr>
        <w:tc>
          <w:tcPr>
            <w:tcW w:w="1100" w:type="pct"/>
            <w:tcBorders>
              <w:top w:val="none" w:sz="0" w:space="0" w:color="FFFFFF"/>
              <w:left w:val="none" w:sz="0" w:space="0" w:color="FFFFFF"/>
              <w:bottom w:val="none" w:sz="0" w:space="0" w:color="FFFFFF"/>
              <w:right w:val="none" w:sz="0" w:space="0" w:color="FFFFFF"/>
            </w:tcBorders>
            <w:vAlign w:val="center"/>
          </w:tcPr>
          <w:p w14:paraId="76DE4EF8" w14:textId="77777777" w:rsidR="00316F20" w:rsidRDefault="00000000" w:rsidP="00685D94">
            <w:pPr>
              <w:jc w:val="center"/>
            </w:pPr>
            <w:r>
              <w:rPr>
                <w:noProof/>
              </w:rPr>
              <w:drawing>
                <wp:inline distT="0" distB="0" distL="0" distR="0" wp14:anchorId="2A53EC0B" wp14:editId="709329C6">
                  <wp:extent cx="476250" cy="476250"/>
                  <wp:effectExtent l="0" t="0" r="0" b="0"/>
                  <wp:docPr id="608238767" name="Picture 608238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476250" cy="476250"/>
                          </a:xfrm>
                          <a:prstGeom prst="rect">
                            <a:avLst/>
                          </a:prstGeom>
                        </pic:spPr>
                      </pic:pic>
                    </a:graphicData>
                  </a:graphic>
                </wp:inline>
              </w:drawing>
            </w:r>
          </w:p>
          <w:p w14:paraId="49886FD0" w14:textId="77777777" w:rsidR="00316F20" w:rsidRDefault="00000000" w:rsidP="00685D94">
            <w:pPr>
              <w:jc w:val="center"/>
            </w:pPr>
            <w:r>
              <w:rPr>
                <w:b/>
                <w:bCs/>
                <w:color w:val="1F3864"/>
                <w:sz w:val="15"/>
                <w:szCs w:val="15"/>
              </w:rPr>
              <w:t>Structure(s)</w:t>
            </w:r>
          </w:p>
        </w:tc>
        <w:tc>
          <w:tcPr>
            <w:tcW w:w="200" w:type="pct"/>
            <w:tcBorders>
              <w:top w:val="none" w:sz="0" w:space="0" w:color="FFFFFF"/>
              <w:left w:val="none" w:sz="0" w:space="0" w:color="FFFFFF"/>
              <w:bottom w:val="none" w:sz="0" w:space="0" w:color="FFFFFF"/>
              <w:right w:val="none" w:sz="0" w:space="0" w:color="FFFFFF"/>
            </w:tcBorders>
            <w:vAlign w:val="center"/>
          </w:tcPr>
          <w:p w14:paraId="123651D0" w14:textId="77777777" w:rsidR="00316F20" w:rsidRDefault="00000000" w:rsidP="00685D94">
            <w:pPr>
              <w:jc w:val="center"/>
            </w:pPr>
            <w:r>
              <w:rPr>
                <w:b/>
                <w:bCs/>
                <w:color w:val="156082"/>
                <w:sz w:val="26"/>
                <w:szCs w:val="26"/>
              </w:rPr>
              <w:t>→</w:t>
            </w:r>
          </w:p>
        </w:tc>
        <w:tc>
          <w:tcPr>
            <w:tcW w:w="1100" w:type="pct"/>
            <w:tcBorders>
              <w:top w:val="none" w:sz="0" w:space="0" w:color="FFFFFF"/>
              <w:left w:val="none" w:sz="0" w:space="0" w:color="FFFFFF"/>
              <w:bottom w:val="none" w:sz="0" w:space="0" w:color="FFFFFF"/>
              <w:right w:val="none" w:sz="0" w:space="0" w:color="FFFFFF"/>
            </w:tcBorders>
            <w:vAlign w:val="center"/>
          </w:tcPr>
          <w:p w14:paraId="48ED4478" w14:textId="77777777" w:rsidR="00316F20" w:rsidRDefault="00000000" w:rsidP="00685D94">
            <w:pPr>
              <w:jc w:val="center"/>
            </w:pPr>
            <w:r>
              <w:rPr>
                <w:noProof/>
              </w:rPr>
              <w:drawing>
                <wp:inline distT="0" distB="0" distL="0" distR="0" wp14:anchorId="58B69195" wp14:editId="6EFBD652">
                  <wp:extent cx="476250" cy="476250"/>
                  <wp:effectExtent l="0" t="0" r="0" b="0"/>
                  <wp:docPr id="811475261" name="Picture 811475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76250" cy="476250"/>
                          </a:xfrm>
                          <a:prstGeom prst="rect">
                            <a:avLst/>
                          </a:prstGeom>
                        </pic:spPr>
                      </pic:pic>
                    </a:graphicData>
                  </a:graphic>
                </wp:inline>
              </w:drawing>
            </w:r>
          </w:p>
          <w:p w14:paraId="51689A5E" w14:textId="77777777" w:rsidR="00316F20" w:rsidRDefault="00000000" w:rsidP="00685D94">
            <w:pPr>
              <w:jc w:val="center"/>
            </w:pPr>
            <w:r>
              <w:rPr>
                <w:b/>
                <w:bCs/>
                <w:color w:val="1F3864"/>
                <w:sz w:val="15"/>
                <w:szCs w:val="15"/>
              </w:rPr>
              <w:t>Sensors on structure(s)</w:t>
            </w:r>
          </w:p>
        </w:tc>
        <w:tc>
          <w:tcPr>
            <w:tcW w:w="200" w:type="pct"/>
            <w:tcBorders>
              <w:top w:val="none" w:sz="0" w:space="0" w:color="FFFFFF"/>
              <w:left w:val="none" w:sz="0" w:space="0" w:color="FFFFFF"/>
              <w:bottom w:val="none" w:sz="0" w:space="0" w:color="FFFFFF"/>
              <w:right w:val="none" w:sz="0" w:space="0" w:color="FFFFFF"/>
            </w:tcBorders>
            <w:vAlign w:val="center"/>
          </w:tcPr>
          <w:p w14:paraId="34F6DBC5" w14:textId="77777777" w:rsidR="00316F20" w:rsidRDefault="00000000" w:rsidP="00685D94">
            <w:pPr>
              <w:jc w:val="center"/>
            </w:pPr>
            <w:r>
              <w:rPr>
                <w:b/>
                <w:bCs/>
                <w:color w:val="156082"/>
                <w:sz w:val="26"/>
                <w:szCs w:val="26"/>
              </w:rPr>
              <w:t>→</w:t>
            </w:r>
          </w:p>
        </w:tc>
        <w:tc>
          <w:tcPr>
            <w:tcW w:w="1100" w:type="pct"/>
            <w:tcBorders>
              <w:top w:val="none" w:sz="0" w:space="0" w:color="FFFFFF"/>
              <w:left w:val="none" w:sz="0" w:space="0" w:color="FFFFFF"/>
              <w:bottom w:val="none" w:sz="0" w:space="0" w:color="FFFFFF"/>
              <w:right w:val="none" w:sz="0" w:space="0" w:color="FFFFFF"/>
            </w:tcBorders>
            <w:vAlign w:val="center"/>
          </w:tcPr>
          <w:p w14:paraId="7D59E350" w14:textId="77777777" w:rsidR="00316F20" w:rsidRDefault="00000000" w:rsidP="00685D94">
            <w:pPr>
              <w:jc w:val="center"/>
            </w:pPr>
            <w:r>
              <w:rPr>
                <w:noProof/>
              </w:rPr>
              <w:drawing>
                <wp:inline distT="0" distB="0" distL="0" distR="0" wp14:anchorId="4E59F5C9" wp14:editId="6C36EC5E">
                  <wp:extent cx="476250" cy="390525"/>
                  <wp:effectExtent l="0" t="0" r="0" b="0"/>
                  <wp:docPr id="706215173" name="Picture 706215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476250" cy="390525"/>
                          </a:xfrm>
                          <a:prstGeom prst="rect">
                            <a:avLst/>
                          </a:prstGeom>
                        </pic:spPr>
                      </pic:pic>
                    </a:graphicData>
                  </a:graphic>
                </wp:inline>
              </w:drawing>
            </w:r>
          </w:p>
          <w:p w14:paraId="7C727097" w14:textId="77777777" w:rsidR="00316F20" w:rsidRDefault="00000000" w:rsidP="00685D94">
            <w:pPr>
              <w:jc w:val="center"/>
            </w:pPr>
            <w:r>
              <w:rPr>
                <w:b/>
                <w:bCs/>
                <w:color w:val="1F3864"/>
                <w:sz w:val="15"/>
                <w:szCs w:val="15"/>
              </w:rPr>
              <w:t>Data analysis</w:t>
            </w:r>
          </w:p>
        </w:tc>
        <w:tc>
          <w:tcPr>
            <w:tcW w:w="200" w:type="pct"/>
            <w:tcBorders>
              <w:top w:val="none" w:sz="0" w:space="0" w:color="FFFFFF"/>
              <w:left w:val="none" w:sz="0" w:space="0" w:color="FFFFFF"/>
              <w:bottom w:val="none" w:sz="0" w:space="0" w:color="FFFFFF"/>
              <w:right w:val="none" w:sz="0" w:space="0" w:color="FFFFFF"/>
            </w:tcBorders>
            <w:vAlign w:val="center"/>
          </w:tcPr>
          <w:p w14:paraId="4D564CDC" w14:textId="77777777" w:rsidR="00316F20" w:rsidRDefault="00000000" w:rsidP="00685D94">
            <w:pPr>
              <w:jc w:val="center"/>
            </w:pPr>
            <w:r>
              <w:rPr>
                <w:b/>
                <w:bCs/>
                <w:color w:val="156082"/>
                <w:sz w:val="26"/>
                <w:szCs w:val="26"/>
              </w:rPr>
              <w:t>→</w:t>
            </w:r>
          </w:p>
        </w:tc>
        <w:tc>
          <w:tcPr>
            <w:tcW w:w="1100" w:type="pct"/>
            <w:tcBorders>
              <w:top w:val="none" w:sz="0" w:space="0" w:color="FFFFFF"/>
              <w:left w:val="none" w:sz="0" w:space="0" w:color="FFFFFF"/>
              <w:bottom w:val="none" w:sz="0" w:space="0" w:color="FFFFFF"/>
              <w:right w:val="none" w:sz="0" w:space="0" w:color="FFFFFF"/>
            </w:tcBorders>
            <w:vAlign w:val="center"/>
          </w:tcPr>
          <w:p w14:paraId="02CF8571" w14:textId="77777777" w:rsidR="00316F20" w:rsidRDefault="00000000" w:rsidP="00685D94">
            <w:pPr>
              <w:jc w:val="center"/>
            </w:pPr>
            <w:r>
              <w:rPr>
                <w:noProof/>
              </w:rPr>
              <w:drawing>
                <wp:inline distT="0" distB="0" distL="0" distR="0" wp14:anchorId="1216D5E0" wp14:editId="1117B271">
                  <wp:extent cx="476250" cy="476250"/>
                  <wp:effectExtent l="0" t="0" r="0" b="0"/>
                  <wp:docPr id="1427958967" name="Picture 1427958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476250" cy="476250"/>
                          </a:xfrm>
                          <a:prstGeom prst="rect">
                            <a:avLst/>
                          </a:prstGeom>
                        </pic:spPr>
                      </pic:pic>
                    </a:graphicData>
                  </a:graphic>
                </wp:inline>
              </w:drawing>
            </w:r>
          </w:p>
          <w:p w14:paraId="6E3EFAA4" w14:textId="77777777" w:rsidR="00316F20" w:rsidRDefault="00000000" w:rsidP="00685D94">
            <w:pPr>
              <w:jc w:val="center"/>
            </w:pPr>
            <w:r>
              <w:rPr>
                <w:b/>
                <w:bCs/>
                <w:color w:val="1F3864"/>
                <w:sz w:val="15"/>
                <w:szCs w:val="15"/>
              </w:rPr>
              <w:t>Decision making</w:t>
            </w:r>
          </w:p>
        </w:tc>
      </w:tr>
    </w:tbl>
    <w:p w14:paraId="1FE6CF7D" w14:textId="77777777" w:rsidR="00316F20" w:rsidRDefault="00316F20" w:rsidP="00685D94">
      <w:pPr>
        <w:spacing w:before="24" w:line="20" w:lineRule="exact"/>
      </w:pPr>
    </w:p>
    <w:p w14:paraId="74B2B0CB" w14:textId="77777777" w:rsidR="00316F20" w:rsidRPr="00E833EA" w:rsidRDefault="00000000" w:rsidP="00685D94">
      <w:pPr>
        <w:pStyle w:val="ListParagraph"/>
        <w:numPr>
          <w:ilvl w:val="0"/>
          <w:numId w:val="2"/>
        </w:numPr>
        <w:jc w:val="both"/>
      </w:pPr>
      <w:r w:rsidRPr="00E833EA">
        <w:rPr>
          <w:color w:val="1A1A1A"/>
        </w:rPr>
        <w:t>Uses data recorded from sensors attached to structures to capture one or more parameters, such as vibration, micro-level acoustic waves, ultrasonic waves, displacement, and strain.</w:t>
      </w:r>
    </w:p>
    <w:p w14:paraId="063564E8" w14:textId="77777777" w:rsidR="00316F20" w:rsidRPr="00E833EA" w:rsidRDefault="00000000" w:rsidP="00685D94">
      <w:pPr>
        <w:pStyle w:val="ListParagraph"/>
        <w:numPr>
          <w:ilvl w:val="0"/>
          <w:numId w:val="2"/>
        </w:numPr>
        <w:jc w:val="both"/>
      </w:pPr>
      <w:r w:rsidRPr="00E833EA">
        <w:rPr>
          <w:color w:val="1A1A1A"/>
        </w:rPr>
        <w:t>Sensors can be installed permanently for long-term monitoring or temporarily for short-term monitoring.</w:t>
      </w:r>
    </w:p>
    <w:p w14:paraId="496CCB9B" w14:textId="226FEBB6" w:rsidR="00316F20" w:rsidRPr="00560D30" w:rsidRDefault="00000000" w:rsidP="00685D94">
      <w:pPr>
        <w:pStyle w:val="ListParagraph"/>
        <w:numPr>
          <w:ilvl w:val="0"/>
          <w:numId w:val="2"/>
        </w:numPr>
        <w:jc w:val="both"/>
      </w:pPr>
      <w:r w:rsidRPr="00E833EA">
        <w:rPr>
          <w:color w:val="1A1A1A"/>
        </w:rPr>
        <w:t>Contact, non-contact, or both types of sensors can be used. Contact sensors are usually accelerometers, velocimeters, tiltmeters, strain gauges, acoustic transducers, and ultrasonic devices. Non-contact sensors are typically laser Doppler vibrometers and air-coupled acoustic transducers</w:t>
      </w:r>
      <w:r w:rsidR="00560D30">
        <w:rPr>
          <w:color w:val="1A1A1A"/>
          <w:sz w:val="19"/>
          <w:szCs w:val="19"/>
        </w:rPr>
        <w:t>.</w:t>
      </w:r>
    </w:p>
    <w:p w14:paraId="6FBAE671" w14:textId="77777777" w:rsidR="00560D30" w:rsidRPr="00A21E70" w:rsidRDefault="00560D30" w:rsidP="00560D30">
      <w:pPr>
        <w:spacing w:after="46"/>
        <w:ind w:left="60"/>
        <w:jc w:val="both"/>
        <w:rPr>
          <w:sz w:val="2"/>
          <w:szCs w:val="2"/>
        </w:rPr>
      </w:pPr>
    </w:p>
    <w:p w14:paraId="6DCBE368" w14:textId="77777777" w:rsidR="00316F20" w:rsidRDefault="00316F20" w:rsidP="00560D30">
      <w:pPr>
        <w:spacing w:before="24" w:line="20" w:lineRule="exact"/>
        <w:jc w:val="both"/>
      </w:pPr>
    </w:p>
    <w:tbl>
      <w:tblPr>
        <w:tblW w:w="5000" w:type="pct"/>
        <w:tblBorders>
          <w:top w:val="single" w:sz="6" w:space="0" w:color="030E13"/>
          <w:left w:val="single" w:sz="6" w:space="0" w:color="030E13"/>
          <w:bottom w:val="single" w:sz="6" w:space="0" w:color="030E13"/>
          <w:right w:val="single" w:sz="6" w:space="0" w:color="030E13"/>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92"/>
        <w:gridCol w:w="5492"/>
      </w:tblGrid>
      <w:tr w:rsidR="00560D30" w14:paraId="46CA260F" w14:textId="44E98E76" w:rsidTr="00560D30">
        <w:tc>
          <w:tcPr>
            <w:tcW w:w="2500" w:type="pct"/>
            <w:shd w:val="clear" w:color="auto" w:fill="7A0000"/>
            <w:tcMar>
              <w:top w:w="30" w:type="dxa"/>
              <w:left w:w="120" w:type="dxa"/>
              <w:bottom w:w="30" w:type="dxa"/>
              <w:right w:w="120" w:type="dxa"/>
            </w:tcMar>
          </w:tcPr>
          <w:p w14:paraId="41DFEE6A" w14:textId="77777777" w:rsidR="00560D30" w:rsidRDefault="00560D30" w:rsidP="00560D30">
            <w:pPr>
              <w:jc w:val="both"/>
            </w:pPr>
            <w:r>
              <w:rPr>
                <w:b/>
                <w:bCs/>
                <w:color w:val="FFFFFF"/>
                <w:sz w:val="19"/>
                <w:szCs w:val="19"/>
              </w:rPr>
              <w:t>ANALYSIS</w:t>
            </w:r>
          </w:p>
        </w:tc>
        <w:tc>
          <w:tcPr>
            <w:tcW w:w="2500" w:type="pct"/>
            <w:shd w:val="clear" w:color="auto" w:fill="7A0000"/>
          </w:tcPr>
          <w:p w14:paraId="4F0B1C3C" w14:textId="77777777" w:rsidR="00560D30" w:rsidRDefault="00560D30" w:rsidP="00560D30">
            <w:pPr>
              <w:jc w:val="both"/>
              <w:rPr>
                <w:b/>
                <w:bCs/>
                <w:color w:val="FFFFFF"/>
                <w:sz w:val="19"/>
                <w:szCs w:val="19"/>
              </w:rPr>
            </w:pPr>
          </w:p>
        </w:tc>
      </w:tr>
    </w:tbl>
    <w:p w14:paraId="5422E736" w14:textId="77777777" w:rsidR="00316F20" w:rsidRPr="00E833EA" w:rsidRDefault="00316F20" w:rsidP="00560D30">
      <w:pPr>
        <w:spacing w:before="24" w:line="20" w:lineRule="exact"/>
        <w:jc w:val="both"/>
      </w:pPr>
    </w:p>
    <w:p w14:paraId="219A4343" w14:textId="77777777" w:rsidR="00560D30" w:rsidRPr="00E833EA" w:rsidRDefault="00560D30" w:rsidP="00560D30">
      <w:pPr>
        <w:pStyle w:val="ListParagraph"/>
        <w:spacing w:after="46"/>
        <w:ind w:left="260"/>
        <w:jc w:val="both"/>
        <w:rPr>
          <w:sz w:val="4"/>
          <w:szCs w:val="4"/>
        </w:rPr>
      </w:pPr>
    </w:p>
    <w:p w14:paraId="5A0CF3AF" w14:textId="1B4A5F79" w:rsidR="00316F20" w:rsidRPr="00E833EA" w:rsidRDefault="00000000" w:rsidP="00560D30">
      <w:pPr>
        <w:pStyle w:val="ListParagraph"/>
        <w:numPr>
          <w:ilvl w:val="0"/>
          <w:numId w:val="2"/>
        </w:numPr>
        <w:spacing w:after="46"/>
        <w:jc w:val="both"/>
      </w:pPr>
      <w:r w:rsidRPr="00E833EA">
        <w:rPr>
          <w:color w:val="1A1A1A"/>
        </w:rPr>
        <w:t>Data recorded from the sensors is analyzed using signal processing, system identification (in this case, the structure itself is treated as the system), artificial intelligence, and other advanced mathematical methods</w:t>
      </w:r>
      <w:r w:rsidR="00560D30" w:rsidRPr="00E833EA">
        <w:rPr>
          <w:color w:val="1A1A1A"/>
        </w:rPr>
        <w:t>.</w:t>
      </w:r>
    </w:p>
    <w:p w14:paraId="5FBFFA9C" w14:textId="77777777" w:rsidR="00560D30" w:rsidRPr="00980F95" w:rsidRDefault="00560D30" w:rsidP="00560D30">
      <w:pPr>
        <w:pStyle w:val="ListParagraph"/>
        <w:spacing w:after="46"/>
        <w:ind w:left="260"/>
        <w:jc w:val="both"/>
        <w:rPr>
          <w:sz w:val="2"/>
          <w:szCs w:val="2"/>
        </w:rPr>
      </w:pPr>
    </w:p>
    <w:p w14:paraId="3DED5E16" w14:textId="28E6088E" w:rsidR="00316F20" w:rsidRDefault="00316F20">
      <w:pPr>
        <w:spacing w:before="24" w:line="20" w:lineRule="exact"/>
      </w:pPr>
    </w:p>
    <w:tbl>
      <w:tblPr>
        <w:tblW w:w="5025" w:type="pct"/>
        <w:tblInd w:w="-8" w:type="dxa"/>
        <w:tblBorders>
          <w:top w:val="single" w:sz="6" w:space="0" w:color="030E13"/>
          <w:left w:val="single" w:sz="6" w:space="0" w:color="030E13"/>
          <w:bottom w:val="single" w:sz="6" w:space="0" w:color="030E13"/>
          <w:right w:val="single" w:sz="6" w:space="0" w:color="030E13"/>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
        <w:gridCol w:w="10984"/>
        <w:gridCol w:w="7"/>
        <w:gridCol w:w="40"/>
      </w:tblGrid>
      <w:tr w:rsidR="00316F20" w14:paraId="538110BE" w14:textId="77777777" w:rsidTr="0068522F">
        <w:trPr>
          <w:gridBefore w:val="1"/>
          <w:gridAfter w:val="2"/>
          <w:wBefore w:w="4" w:type="pct"/>
          <w:wAfter w:w="22" w:type="pct"/>
        </w:trPr>
        <w:tc>
          <w:tcPr>
            <w:tcW w:w="4975" w:type="pct"/>
            <w:shd w:val="clear" w:color="auto" w:fill="7A0000"/>
            <w:tcMar>
              <w:top w:w="30" w:type="dxa"/>
              <w:left w:w="120" w:type="dxa"/>
              <w:bottom w:w="30" w:type="dxa"/>
              <w:right w:w="120" w:type="dxa"/>
            </w:tcMar>
          </w:tcPr>
          <w:p w14:paraId="563F3FD7" w14:textId="73DF1DC7" w:rsidR="00316F20" w:rsidRDefault="00000000">
            <w:r>
              <w:rPr>
                <w:b/>
                <w:bCs/>
                <w:color w:val="FFFFFF"/>
                <w:sz w:val="19"/>
                <w:szCs w:val="19"/>
              </w:rPr>
              <w:t>TYPES OF MONITORING</w:t>
            </w:r>
          </w:p>
        </w:tc>
      </w:tr>
      <w:tr w:rsidR="00316F20" w14:paraId="3A4F6755" w14:textId="77777777" w:rsidTr="0068522F">
        <w:tblPrEx>
          <w:tblBorders>
            <w:top w:val="none" w:sz="0" w:space="0" w:color="FFFFFF"/>
            <w:left w:val="none" w:sz="0" w:space="0" w:color="FFFFFF"/>
            <w:bottom w:val="none" w:sz="0" w:space="0" w:color="FFFFFF"/>
            <w:right w:val="none" w:sz="0" w:space="0" w:color="FFFFFF"/>
          </w:tblBorders>
        </w:tblPrEx>
        <w:tc>
          <w:tcPr>
            <w:tcW w:w="4982" w:type="pct"/>
            <w:gridSpan w:val="3"/>
            <w:tcBorders>
              <w:top w:val="none" w:sz="0" w:space="0" w:color="FFFFFF"/>
              <w:left w:val="none" w:sz="0" w:space="0" w:color="FFFFFF"/>
              <w:bottom w:val="none" w:sz="0" w:space="0" w:color="FFFFFF"/>
              <w:right w:val="none" w:sz="0" w:space="0" w:color="FFFFFF"/>
            </w:tcBorders>
          </w:tcPr>
          <w:p w14:paraId="64D534A9" w14:textId="1D05CE55" w:rsidR="00560D30" w:rsidRPr="00E833EA" w:rsidRDefault="00E833EA" w:rsidP="00685D94">
            <w:pPr>
              <w:pStyle w:val="ListParagraph"/>
              <w:spacing w:after="46"/>
              <w:ind w:left="260"/>
              <w:jc w:val="both"/>
            </w:pPr>
            <w:r>
              <w:rPr>
                <w:noProof/>
                <w:sz w:val="4"/>
                <w:szCs w:val="4"/>
              </w:rPr>
              <w:drawing>
                <wp:anchor distT="0" distB="0" distL="114300" distR="114300" simplePos="0" relativeHeight="251669504" behindDoc="0" locked="0" layoutInCell="1" allowOverlap="1" wp14:anchorId="769BDD32" wp14:editId="4A4CEE5E">
                  <wp:simplePos x="0" y="0"/>
                  <wp:positionH relativeFrom="column">
                    <wp:posOffset>57150</wp:posOffset>
                  </wp:positionH>
                  <wp:positionV relativeFrom="paragraph">
                    <wp:posOffset>109220</wp:posOffset>
                  </wp:positionV>
                  <wp:extent cx="3242310" cy="1510665"/>
                  <wp:effectExtent l="0" t="0" r="0" b="0"/>
                  <wp:wrapSquare wrapText="bothSides"/>
                  <wp:docPr id="1497671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42310" cy="1510665"/>
                          </a:xfrm>
                          <a:prstGeom prst="rect">
                            <a:avLst/>
                          </a:prstGeom>
                          <a:noFill/>
                        </pic:spPr>
                      </pic:pic>
                    </a:graphicData>
                  </a:graphic>
                  <wp14:sizeRelH relativeFrom="page">
                    <wp14:pctWidth>0</wp14:pctWidth>
                  </wp14:sizeRelH>
                  <wp14:sizeRelV relativeFrom="page">
                    <wp14:pctHeight>0</wp14:pctHeight>
                  </wp14:sizeRelV>
                </wp:anchor>
              </w:drawing>
            </w:r>
            <w:r w:rsidR="0068522F">
              <w:rPr>
                <w:noProof/>
                <w:sz w:val="4"/>
                <w:szCs w:val="4"/>
              </w:rPr>
              <w:t xml:space="preserve"> </w:t>
            </w:r>
          </w:p>
          <w:p w14:paraId="520639A3" w14:textId="4C36AE69" w:rsidR="00560D30" w:rsidRPr="00E833EA" w:rsidRDefault="00000000" w:rsidP="00685D94">
            <w:pPr>
              <w:spacing w:after="46"/>
              <w:jc w:val="both"/>
              <w:rPr>
                <w:color w:val="1A1A1A"/>
              </w:rPr>
            </w:pPr>
            <w:r w:rsidRPr="00E833EA">
              <w:rPr>
                <w:b/>
                <w:bCs/>
                <w:color w:val="1F3864"/>
                <w:u w:val="single"/>
              </w:rPr>
              <w:t>Vibration-based monitoring:</w:t>
            </w:r>
            <w:r w:rsidRPr="00E833EA">
              <w:rPr>
                <w:b/>
                <w:bCs/>
                <w:color w:val="1F3864"/>
              </w:rPr>
              <w:t xml:space="preserve"> </w:t>
            </w:r>
            <w:r w:rsidRPr="00E833EA">
              <w:rPr>
                <w:color w:val="1A1A1A"/>
              </w:rPr>
              <w:t>the data recorded from sensors (e.g., from accelerometers) is used to identify the natural frequencies, mode shapes, and damping ratios</w:t>
            </w:r>
            <w:r w:rsidR="00A21E70" w:rsidRPr="00E833EA">
              <w:rPr>
                <w:color w:val="1A1A1A"/>
              </w:rPr>
              <w:t xml:space="preserve"> of structures</w:t>
            </w:r>
            <w:r w:rsidRPr="00E833EA">
              <w:rPr>
                <w:color w:val="1A1A1A"/>
              </w:rPr>
              <w:t>. In some cases</w:t>
            </w:r>
            <w:r w:rsidR="00A21E70" w:rsidRPr="00E833EA">
              <w:rPr>
                <w:color w:val="1A1A1A"/>
              </w:rPr>
              <w:t xml:space="preserve">, </w:t>
            </w:r>
            <w:r w:rsidRPr="00E833EA">
              <w:rPr>
                <w:color w:val="1A1A1A"/>
              </w:rPr>
              <w:t>mathematical models of the structures are also developed to complement the measurements</w:t>
            </w:r>
            <w:r w:rsidR="00A21E70" w:rsidRPr="00E833EA">
              <w:rPr>
                <w:color w:val="1A1A1A"/>
              </w:rPr>
              <w:t xml:space="preserve"> and further characterize these dynamic properties</w:t>
            </w:r>
            <w:r w:rsidRPr="00E833EA">
              <w:rPr>
                <w:color w:val="1A1A1A"/>
              </w:rPr>
              <w:t xml:space="preserve">. </w:t>
            </w:r>
            <w:r w:rsidR="00A21E70" w:rsidRPr="00E833EA">
              <w:rPr>
                <w:color w:val="1A1A1A"/>
              </w:rPr>
              <w:t>Using the parameters obtained from measurements and</w:t>
            </w:r>
            <w:r w:rsidRPr="00E833EA">
              <w:rPr>
                <w:color w:val="1A1A1A"/>
              </w:rPr>
              <w:t xml:space="preserve">/or models, </w:t>
            </w:r>
            <w:r w:rsidR="00B21F64" w:rsidRPr="00E833EA">
              <w:rPr>
                <w:color w:val="1A1A1A"/>
              </w:rPr>
              <w:t>condition assessment</w:t>
            </w:r>
            <w:r w:rsidRPr="00E833EA">
              <w:rPr>
                <w:color w:val="1A1A1A"/>
              </w:rPr>
              <w:t>, long-term monitoring</w:t>
            </w:r>
            <w:r w:rsidR="00A21E70" w:rsidRPr="00E833EA">
              <w:rPr>
                <w:color w:val="1A1A1A"/>
              </w:rPr>
              <w:t>, or model updating for more reliable simulations</w:t>
            </w:r>
            <w:r w:rsidRPr="00E833EA">
              <w:rPr>
                <w:color w:val="1A1A1A"/>
              </w:rPr>
              <w:t xml:space="preserve"> can then be </w:t>
            </w:r>
            <w:r w:rsidR="00A21E70" w:rsidRPr="00E833EA">
              <w:rPr>
                <w:color w:val="1A1A1A"/>
              </w:rPr>
              <w:t>achieved</w:t>
            </w:r>
            <w:r w:rsidRPr="00E833EA">
              <w:rPr>
                <w:color w:val="1A1A1A"/>
              </w:rPr>
              <w:t>.</w:t>
            </w:r>
            <w:r w:rsidR="00685D94" w:rsidRPr="00E833EA">
              <w:rPr>
                <w:color w:val="1A1A1A"/>
              </w:rPr>
              <w:t xml:space="preserve"> In vibration-based monitoring, either 1) naturally occurring vibrations induced by occupancy, environmental, and operational conditions (passive monitoring), or 2) vibrations induced externally through impact hammers, mass shakers, or other actuators (active monitoring) can be used. These types of monitoring are usually named after the excitation type (e.g., passive vibration-based monitoring).</w:t>
            </w:r>
          </w:p>
          <w:p w14:paraId="0E995FD8" w14:textId="77777777" w:rsidR="00E833EA" w:rsidRPr="00560D30" w:rsidRDefault="00E833EA" w:rsidP="00685D94">
            <w:pPr>
              <w:spacing w:after="46"/>
              <w:jc w:val="both"/>
              <w:rPr>
                <w:sz w:val="4"/>
                <w:szCs w:val="4"/>
              </w:rPr>
            </w:pPr>
          </w:p>
          <w:p w14:paraId="05C6F19E" w14:textId="2FBC1866" w:rsidR="0068522F" w:rsidRPr="00B6551C" w:rsidRDefault="00685D94" w:rsidP="00685D94">
            <w:pPr>
              <w:spacing w:after="16"/>
              <w:contextualSpacing/>
              <w:jc w:val="both"/>
              <w:rPr>
                <w:color w:val="1A1A1A"/>
                <w:sz w:val="18"/>
                <w:szCs w:val="18"/>
              </w:rPr>
            </w:pPr>
            <w:r>
              <w:rPr>
                <w:noProof/>
                <w:color w:val="1A1A1A"/>
              </w:rPr>
              <w:drawing>
                <wp:anchor distT="0" distB="0" distL="114300" distR="114300" simplePos="0" relativeHeight="251668480" behindDoc="1" locked="0" layoutInCell="1" allowOverlap="1" wp14:anchorId="0CE007CA" wp14:editId="46F8996D">
                  <wp:simplePos x="0" y="0"/>
                  <wp:positionH relativeFrom="column">
                    <wp:posOffset>4743450</wp:posOffset>
                  </wp:positionH>
                  <wp:positionV relativeFrom="paragraph">
                    <wp:posOffset>38735</wp:posOffset>
                  </wp:positionV>
                  <wp:extent cx="2207895" cy="698500"/>
                  <wp:effectExtent l="0" t="0" r="0" b="0"/>
                  <wp:wrapSquare wrapText="bothSides"/>
                  <wp:docPr id="5678315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07895" cy="698500"/>
                          </a:xfrm>
                          <a:prstGeom prst="rect">
                            <a:avLst/>
                          </a:prstGeom>
                          <a:noFill/>
                        </pic:spPr>
                      </pic:pic>
                    </a:graphicData>
                  </a:graphic>
                  <wp14:sizeRelH relativeFrom="page">
                    <wp14:pctWidth>0</wp14:pctWidth>
                  </wp14:sizeRelH>
                  <wp14:sizeRelV relativeFrom="page">
                    <wp14:pctHeight>0</wp14:pctHeight>
                  </wp14:sizeRelV>
                </wp:anchor>
              </w:drawing>
            </w:r>
            <w:r>
              <w:rPr>
                <w:b/>
                <w:bCs/>
                <w:color w:val="1F3864"/>
                <w:sz w:val="19"/>
                <w:szCs w:val="19"/>
                <w:u w:val="single"/>
              </w:rPr>
              <w:t>Acoustic emission</w:t>
            </w:r>
            <w:r w:rsidR="00ED1D2D" w:rsidRPr="00B6551C">
              <w:rPr>
                <w:b/>
                <w:bCs/>
                <w:color w:val="1F3864"/>
                <w:sz w:val="19"/>
                <w:szCs w:val="19"/>
                <w:u w:val="single"/>
              </w:rPr>
              <w:t>-based monitoring:</w:t>
            </w:r>
            <w:r w:rsidR="00ED1D2D" w:rsidRPr="00B6551C">
              <w:rPr>
                <w:b/>
                <w:bCs/>
                <w:color w:val="1F3864"/>
                <w:sz w:val="19"/>
                <w:szCs w:val="19"/>
              </w:rPr>
              <w:t xml:space="preserve"> </w:t>
            </w:r>
            <w:r w:rsidR="0068522F" w:rsidRPr="00B6551C">
              <w:rPr>
                <w:color w:val="1A1A1A"/>
              </w:rPr>
              <w:t xml:space="preserve">In this case, monitoring is performed by listening </w:t>
            </w:r>
            <w:proofErr w:type="gramStart"/>
            <w:r w:rsidR="0068522F" w:rsidRPr="00B6551C">
              <w:rPr>
                <w:color w:val="1A1A1A"/>
              </w:rPr>
              <w:t>for</w:t>
            </w:r>
            <w:proofErr w:type="gramEnd"/>
            <w:r w:rsidR="0068522F" w:rsidRPr="00B6551C">
              <w:rPr>
                <w:color w:val="1A1A1A"/>
              </w:rPr>
              <w:t xml:space="preserve"> acoustic emissions</w:t>
            </w:r>
            <w:r w:rsidR="00F43875">
              <w:rPr>
                <w:color w:val="1A1A1A"/>
              </w:rPr>
              <w:t xml:space="preserve"> that are</w:t>
            </w:r>
            <w:r w:rsidR="0068522F" w:rsidRPr="00B6551C">
              <w:rPr>
                <w:color w:val="1A1A1A"/>
              </w:rPr>
              <w:t xml:space="preserve"> micro-level elastic waves that propagate through a structure, </w:t>
            </w:r>
            <w:proofErr w:type="gramStart"/>
            <w:r w:rsidR="0068522F" w:rsidRPr="00B6551C">
              <w:rPr>
                <w:color w:val="1A1A1A"/>
              </w:rPr>
              <w:t>similar to</w:t>
            </w:r>
            <w:proofErr w:type="gramEnd"/>
            <w:r w:rsidR="0068522F" w:rsidRPr="00B6551C">
              <w:rPr>
                <w:color w:val="1A1A1A"/>
              </w:rPr>
              <w:t xml:space="preserve"> the ripples created when a stone is thrown into a lake. Growing cracks or other defects release these waves themselves, </w:t>
            </w:r>
            <w:proofErr w:type="gramStart"/>
            <w:r w:rsidR="00F43875">
              <w:rPr>
                <w:color w:val="1A1A1A"/>
              </w:rPr>
              <w:t>similar to</w:t>
            </w:r>
            <w:proofErr w:type="gramEnd"/>
            <w:r w:rsidR="0068522F" w:rsidRPr="00B6551C">
              <w:rPr>
                <w:color w:val="1A1A1A"/>
              </w:rPr>
              <w:t xml:space="preserve"> creaking sound produced by a branch just before it breaks. Because the waves originate directly from the defect</w:t>
            </w:r>
            <w:r w:rsidR="00F43875">
              <w:rPr>
                <w:color w:val="1A1A1A"/>
              </w:rPr>
              <w:t xml:space="preserve"> (no external force)</w:t>
            </w:r>
            <w:r w:rsidR="0068522F" w:rsidRPr="00B6551C">
              <w:rPr>
                <w:color w:val="1A1A1A"/>
              </w:rPr>
              <w:t xml:space="preserve">, sensors listen </w:t>
            </w:r>
            <w:proofErr w:type="gramStart"/>
            <w:r w:rsidR="0068522F" w:rsidRPr="00B6551C">
              <w:rPr>
                <w:color w:val="1A1A1A"/>
              </w:rPr>
              <w:t>for</w:t>
            </w:r>
            <w:proofErr w:type="gramEnd"/>
            <w:r w:rsidR="0068522F" w:rsidRPr="00B6551C">
              <w:rPr>
                <w:color w:val="1A1A1A"/>
              </w:rPr>
              <w:t xml:space="preserve"> the waves the structure generates on </w:t>
            </w:r>
            <w:proofErr w:type="gramStart"/>
            <w:r w:rsidR="0068522F" w:rsidRPr="00B6551C">
              <w:rPr>
                <w:color w:val="1A1A1A"/>
              </w:rPr>
              <w:t>its</w:t>
            </w:r>
            <w:proofErr w:type="gramEnd"/>
            <w:r w:rsidR="0068522F" w:rsidRPr="00B6551C">
              <w:rPr>
                <w:color w:val="1A1A1A"/>
              </w:rPr>
              <w:t xml:space="preserve"> own (passive monitoring).</w:t>
            </w:r>
          </w:p>
          <w:p w14:paraId="3A1D4F8E" w14:textId="47FE5A72" w:rsidR="00560D30" w:rsidRPr="00A21E70" w:rsidRDefault="00560D30" w:rsidP="00685D94">
            <w:pPr>
              <w:spacing w:after="46"/>
              <w:jc w:val="center"/>
              <w:rPr>
                <w:sz w:val="2"/>
                <w:szCs w:val="2"/>
              </w:rPr>
            </w:pPr>
          </w:p>
        </w:tc>
        <w:tc>
          <w:tcPr>
            <w:tcW w:w="18" w:type="pct"/>
            <w:tcBorders>
              <w:top w:val="none" w:sz="0" w:space="0" w:color="FFFFFF"/>
              <w:left w:val="none" w:sz="0" w:space="0" w:color="FFFFFF"/>
              <w:bottom w:val="none" w:sz="0" w:space="0" w:color="FFFFFF"/>
              <w:right w:val="none" w:sz="0" w:space="0" w:color="FFFFFF"/>
            </w:tcBorders>
            <w:vAlign w:val="center"/>
          </w:tcPr>
          <w:p w14:paraId="1181C42B" w14:textId="57C9DE23" w:rsidR="00316F20" w:rsidRDefault="00316F20" w:rsidP="00685D94">
            <w:pPr>
              <w:jc w:val="both"/>
            </w:pPr>
          </w:p>
        </w:tc>
      </w:tr>
    </w:tbl>
    <w:p w14:paraId="60D21641" w14:textId="1FB49C3F" w:rsidR="00560D30" w:rsidRPr="00A21E70" w:rsidRDefault="00685D94" w:rsidP="00685D94">
      <w:pPr>
        <w:spacing w:after="46"/>
        <w:ind w:left="60"/>
        <w:jc w:val="both"/>
        <w:rPr>
          <w:sz w:val="2"/>
          <w:szCs w:val="2"/>
        </w:rPr>
      </w:pPr>
      <w:r>
        <w:rPr>
          <w:noProof/>
          <w:color w:val="1A1A1A"/>
        </w:rPr>
        <w:drawing>
          <wp:anchor distT="0" distB="0" distL="114300" distR="114300" simplePos="0" relativeHeight="251667456" behindDoc="1" locked="0" layoutInCell="1" allowOverlap="1" wp14:anchorId="0D47072E" wp14:editId="455F2F82">
            <wp:simplePos x="0" y="0"/>
            <wp:positionH relativeFrom="column">
              <wp:posOffset>2581710</wp:posOffset>
            </wp:positionH>
            <wp:positionV relativeFrom="paragraph">
              <wp:posOffset>6985</wp:posOffset>
            </wp:positionV>
            <wp:extent cx="2052955" cy="892175"/>
            <wp:effectExtent l="0" t="0" r="4445" b="3175"/>
            <wp:wrapSquare wrapText="bothSides"/>
            <wp:docPr id="11618749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52955" cy="892175"/>
                    </a:xfrm>
                    <a:prstGeom prst="rect">
                      <a:avLst/>
                    </a:prstGeom>
                    <a:noFill/>
                  </pic:spPr>
                </pic:pic>
              </a:graphicData>
            </a:graphic>
            <wp14:sizeRelH relativeFrom="page">
              <wp14:pctWidth>0</wp14:pctWidth>
            </wp14:sizeRelH>
            <wp14:sizeRelV relativeFrom="page">
              <wp14:pctHeight>0</wp14:pctHeight>
            </wp14:sizeRelV>
          </wp:anchor>
        </w:drawing>
      </w:r>
    </w:p>
    <w:p w14:paraId="01D28DBC" w14:textId="248F120F" w:rsidR="00316F20" w:rsidRPr="00E833EA" w:rsidRDefault="00685D94" w:rsidP="00685D94">
      <w:pPr>
        <w:spacing w:after="46"/>
        <w:jc w:val="both"/>
      </w:pPr>
      <w:r w:rsidRPr="00E833EA">
        <w:rPr>
          <w:noProof/>
        </w:rPr>
        <w:drawing>
          <wp:anchor distT="0" distB="0" distL="114300" distR="114300" simplePos="0" relativeHeight="251666432" behindDoc="1" locked="0" layoutInCell="1" allowOverlap="1" wp14:anchorId="0D84409E" wp14:editId="75BAB5C2">
            <wp:simplePos x="0" y="0"/>
            <wp:positionH relativeFrom="margin">
              <wp:posOffset>4803775</wp:posOffset>
            </wp:positionH>
            <wp:positionV relativeFrom="paragraph">
              <wp:posOffset>80010</wp:posOffset>
            </wp:positionV>
            <wp:extent cx="2270760" cy="703580"/>
            <wp:effectExtent l="0" t="0" r="0" b="1270"/>
            <wp:wrapSquare wrapText="bothSides"/>
            <wp:docPr id="26277595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70760" cy="703580"/>
                    </a:xfrm>
                    <a:prstGeom prst="rect">
                      <a:avLst/>
                    </a:prstGeom>
                    <a:noFill/>
                  </pic:spPr>
                </pic:pic>
              </a:graphicData>
            </a:graphic>
            <wp14:sizeRelH relativeFrom="page">
              <wp14:pctWidth>0</wp14:pctWidth>
            </wp14:sizeRelH>
            <wp14:sizeRelV relativeFrom="page">
              <wp14:pctHeight>0</wp14:pctHeight>
            </wp14:sizeRelV>
          </wp:anchor>
        </w:drawing>
      </w:r>
      <w:r w:rsidR="00B6551C" w:rsidRPr="00E833EA">
        <w:rPr>
          <w:b/>
          <w:bCs/>
          <w:color w:val="1F3864"/>
          <w:u w:val="single"/>
        </w:rPr>
        <w:t>Ultrasonic wave-based monitoring:</w:t>
      </w:r>
      <w:r w:rsidR="00B6551C" w:rsidRPr="00E833EA">
        <w:rPr>
          <w:b/>
          <w:bCs/>
          <w:color w:val="1F3864"/>
        </w:rPr>
        <w:t xml:space="preserve"> </w:t>
      </w:r>
      <w:r w:rsidR="00B6551C" w:rsidRPr="00E833EA">
        <w:rPr>
          <w:color w:val="1A1A1A"/>
        </w:rPr>
        <w:t xml:space="preserve">This is very similar to acoustic emission-based monitoring, except that waves are actively sent into the structure </w:t>
      </w:r>
      <w:r w:rsidR="00CC12EF" w:rsidRPr="00E833EA">
        <w:rPr>
          <w:color w:val="1A1A1A"/>
        </w:rPr>
        <w:t>and listen for the reflections</w:t>
      </w:r>
      <w:r w:rsidR="00B6551C" w:rsidRPr="00E833EA">
        <w:rPr>
          <w:color w:val="1A1A1A"/>
        </w:rPr>
        <w:t>. It can be performed without imaging, or when multiple sensors send waves in different directions as an imaging (scanning) technique, much like an ultrasound scan performed by a doctor.</w:t>
      </w:r>
    </w:p>
    <w:p w14:paraId="7374CF44" w14:textId="1CC0019C" w:rsidR="00A21E70" w:rsidRPr="00E833EA" w:rsidRDefault="00000000" w:rsidP="00685D94">
      <w:pPr>
        <w:spacing w:after="46"/>
        <w:jc w:val="both"/>
      </w:pPr>
      <w:r w:rsidRPr="00E833EA">
        <w:rPr>
          <w:b/>
          <w:bCs/>
          <w:color w:val="1F3864"/>
          <w:u w:val="single"/>
        </w:rPr>
        <w:t>Other types of monitoring:</w:t>
      </w:r>
      <w:r w:rsidRPr="00E833EA">
        <w:rPr>
          <w:b/>
          <w:bCs/>
          <w:color w:val="1F3864"/>
        </w:rPr>
        <w:t xml:space="preserve"> </w:t>
      </w:r>
      <w:r w:rsidR="00F43875" w:rsidRPr="00E833EA">
        <w:rPr>
          <w:color w:val="1A1A1A"/>
        </w:rPr>
        <w:t>Such</w:t>
      </w:r>
      <w:r w:rsidRPr="00E833EA">
        <w:rPr>
          <w:color w:val="1A1A1A"/>
        </w:rPr>
        <w:t xml:space="preserve"> as radiographic testing (X-rays) and eddy current testing, can also be used to detect small or hidden defects.</w:t>
      </w:r>
    </w:p>
    <w:p w14:paraId="1126CCFC" w14:textId="77777777" w:rsidR="00560D30" w:rsidRPr="00560D30" w:rsidRDefault="00560D30" w:rsidP="00560D30">
      <w:pPr>
        <w:spacing w:after="46"/>
        <w:ind w:left="60"/>
        <w:rPr>
          <w:sz w:val="4"/>
          <w:szCs w:val="4"/>
        </w:rPr>
      </w:pPr>
    </w:p>
    <w:p w14:paraId="1AF4F339" w14:textId="0DED3442" w:rsidR="00316F20" w:rsidRDefault="00316F20">
      <w:pPr>
        <w:spacing w:before="24" w:line="20" w:lineRule="exact"/>
      </w:pPr>
    </w:p>
    <w:tbl>
      <w:tblPr>
        <w:tblW w:w="5000" w:type="pct"/>
        <w:tblBorders>
          <w:top w:val="single" w:sz="6" w:space="0" w:color="030E13"/>
          <w:left w:val="single" w:sz="6" w:space="0" w:color="030E13"/>
          <w:bottom w:val="single" w:sz="6" w:space="0" w:color="030E13"/>
          <w:right w:val="single" w:sz="6" w:space="0" w:color="030E13"/>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984"/>
      </w:tblGrid>
      <w:tr w:rsidR="00316F20" w:rsidRPr="00E833EA" w14:paraId="68CCC55B" w14:textId="77777777" w:rsidTr="00560D30">
        <w:tc>
          <w:tcPr>
            <w:tcW w:w="5000" w:type="pct"/>
            <w:shd w:val="clear" w:color="auto" w:fill="7A0000"/>
            <w:tcMar>
              <w:top w:w="30" w:type="dxa"/>
              <w:left w:w="120" w:type="dxa"/>
              <w:bottom w:w="30" w:type="dxa"/>
              <w:right w:w="120" w:type="dxa"/>
            </w:tcMar>
          </w:tcPr>
          <w:p w14:paraId="42238C5E" w14:textId="0263BAFB" w:rsidR="00316F20" w:rsidRPr="00E833EA" w:rsidRDefault="00000000">
            <w:r w:rsidRPr="00E833EA">
              <w:rPr>
                <w:b/>
                <w:bCs/>
                <w:color w:val="FFFFFF"/>
              </w:rPr>
              <w:t>WHAT CAN BE DONE WITH THE OUTCOMES?</w:t>
            </w:r>
          </w:p>
        </w:tc>
      </w:tr>
    </w:tbl>
    <w:p w14:paraId="1B6BBCC7" w14:textId="77777777" w:rsidR="00560D30" w:rsidRPr="00E833EA" w:rsidRDefault="00560D30" w:rsidP="00685D94">
      <w:pPr>
        <w:spacing w:after="46"/>
        <w:rPr>
          <w:sz w:val="4"/>
          <w:szCs w:val="4"/>
        </w:rPr>
      </w:pPr>
    </w:p>
    <w:p w14:paraId="54A75421" w14:textId="7EFE6B9F" w:rsidR="00316F20" w:rsidRPr="00E833EA" w:rsidRDefault="00000000">
      <w:pPr>
        <w:pStyle w:val="ListParagraph"/>
        <w:numPr>
          <w:ilvl w:val="0"/>
          <w:numId w:val="2"/>
        </w:numPr>
        <w:spacing w:after="46"/>
      </w:pPr>
      <w:r w:rsidRPr="00E833EA">
        <w:rPr>
          <w:color w:val="1A1A1A"/>
        </w:rPr>
        <w:t>The owner of the structures and/or government agencies can manage maintenance tasks</w:t>
      </w:r>
      <w:r w:rsidR="00DF6F2E" w:rsidRPr="00E833EA">
        <w:rPr>
          <w:color w:val="1A1A1A"/>
        </w:rPr>
        <w:t xml:space="preserve"> more efficiently</w:t>
      </w:r>
      <w:r w:rsidRPr="00E833EA">
        <w:rPr>
          <w:color w:val="1A1A1A"/>
        </w:rPr>
        <w:t>, plan retrofitting more effectively when serious defects exist, and allocate budget and resources</w:t>
      </w:r>
      <w:r w:rsidR="00DF6F2E" w:rsidRPr="00E833EA">
        <w:rPr>
          <w:color w:val="1A1A1A"/>
        </w:rPr>
        <w:t xml:space="preserve"> more reliably</w:t>
      </w:r>
      <w:r w:rsidRPr="00E833EA">
        <w:rPr>
          <w:color w:val="1A1A1A"/>
        </w:rPr>
        <w:t xml:space="preserve"> based on the condition of the structures.</w:t>
      </w:r>
    </w:p>
    <w:p w14:paraId="55A901D9" w14:textId="77777777" w:rsidR="00560D30" w:rsidRPr="00685D94" w:rsidRDefault="00560D30" w:rsidP="00560D30">
      <w:pPr>
        <w:pStyle w:val="ListParagraph"/>
        <w:spacing w:after="46"/>
        <w:ind w:left="260"/>
        <w:rPr>
          <w:sz w:val="4"/>
          <w:szCs w:val="4"/>
        </w:rPr>
      </w:pPr>
    </w:p>
    <w:p w14:paraId="27AEE4B2" w14:textId="40FD730C" w:rsidR="00316F20" w:rsidRPr="00685D94" w:rsidRDefault="00000000" w:rsidP="00E833EA">
      <w:pPr>
        <w:pBdr>
          <w:top w:val="single" w:sz="4" w:space="0" w:color="BFBFBF"/>
          <w:bottom w:val="single" w:sz="4" w:space="0" w:color="BFBFBF"/>
        </w:pBdr>
        <w:spacing w:before="40" w:after="30"/>
        <w:jc w:val="center"/>
        <w:rPr>
          <w:color w:val="3B4A63"/>
          <w:sz w:val="18"/>
          <w:szCs w:val="18"/>
        </w:rPr>
      </w:pPr>
      <w:r w:rsidRPr="00560D30">
        <w:rPr>
          <w:b/>
          <w:bCs/>
          <w:i/>
          <w:iCs/>
          <w:color w:val="C00000"/>
          <w:sz w:val="22"/>
          <w:szCs w:val="22"/>
        </w:rPr>
        <w:t>Accordingly, we keep our structures, and more importantly, we keep ourselves safe!</w:t>
      </w:r>
    </w:p>
    <w:sectPr w:rsidR="00316F20" w:rsidRPr="00685D94">
      <w:pgSz w:w="12240" w:h="15840"/>
      <w:pgMar w:top="380" w:right="620" w:bottom="300" w:left="6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04559B"/>
    <w:multiLevelType w:val="hybridMultilevel"/>
    <w:tmpl w:val="E95C250E"/>
    <w:lvl w:ilvl="0" w:tplc="FEDE50D4">
      <w:start w:val="1"/>
      <w:numFmt w:val="bullet"/>
      <w:lvlText w:val="•"/>
      <w:lvlJc w:val="left"/>
      <w:pPr>
        <w:ind w:left="260" w:hanging="200"/>
      </w:pPr>
      <w:rPr>
        <w:color w:val="1A1A1A"/>
        <w:sz w:val="19"/>
        <w:szCs w:val="19"/>
      </w:rPr>
    </w:lvl>
    <w:lvl w:ilvl="1" w:tplc="54DC0088">
      <w:numFmt w:val="decimal"/>
      <w:lvlText w:val=""/>
      <w:lvlJc w:val="left"/>
    </w:lvl>
    <w:lvl w:ilvl="2" w:tplc="A5149232">
      <w:numFmt w:val="decimal"/>
      <w:lvlText w:val=""/>
      <w:lvlJc w:val="left"/>
    </w:lvl>
    <w:lvl w:ilvl="3" w:tplc="02083C80">
      <w:numFmt w:val="decimal"/>
      <w:lvlText w:val=""/>
      <w:lvlJc w:val="left"/>
    </w:lvl>
    <w:lvl w:ilvl="4" w:tplc="443E5142">
      <w:numFmt w:val="decimal"/>
      <w:lvlText w:val=""/>
      <w:lvlJc w:val="left"/>
    </w:lvl>
    <w:lvl w:ilvl="5" w:tplc="DC565A76">
      <w:numFmt w:val="decimal"/>
      <w:lvlText w:val=""/>
      <w:lvlJc w:val="left"/>
    </w:lvl>
    <w:lvl w:ilvl="6" w:tplc="E1A89ED0">
      <w:numFmt w:val="decimal"/>
      <w:lvlText w:val=""/>
      <w:lvlJc w:val="left"/>
    </w:lvl>
    <w:lvl w:ilvl="7" w:tplc="1438F1BE">
      <w:numFmt w:val="decimal"/>
      <w:lvlText w:val=""/>
      <w:lvlJc w:val="left"/>
    </w:lvl>
    <w:lvl w:ilvl="8" w:tplc="BABEC214">
      <w:numFmt w:val="decimal"/>
      <w:lvlText w:val=""/>
      <w:lvlJc w:val="left"/>
    </w:lvl>
  </w:abstractNum>
  <w:abstractNum w:abstractNumId="1" w15:restartNumberingAfterBreak="0">
    <w:nsid w:val="1B402817"/>
    <w:multiLevelType w:val="hybridMultilevel"/>
    <w:tmpl w:val="8292A5A0"/>
    <w:lvl w:ilvl="0" w:tplc="58B44A20">
      <w:start w:val="1"/>
      <w:numFmt w:val="bullet"/>
      <w:lvlText w:val="●"/>
      <w:lvlJc w:val="left"/>
      <w:pPr>
        <w:ind w:left="720" w:hanging="360"/>
      </w:pPr>
    </w:lvl>
    <w:lvl w:ilvl="1" w:tplc="3D2C44D6">
      <w:start w:val="1"/>
      <w:numFmt w:val="bullet"/>
      <w:lvlText w:val="○"/>
      <w:lvlJc w:val="left"/>
      <w:pPr>
        <w:ind w:left="1440" w:hanging="360"/>
      </w:pPr>
    </w:lvl>
    <w:lvl w:ilvl="2" w:tplc="14461AA8">
      <w:start w:val="1"/>
      <w:numFmt w:val="bullet"/>
      <w:lvlText w:val="■"/>
      <w:lvlJc w:val="left"/>
      <w:pPr>
        <w:ind w:left="2160" w:hanging="360"/>
      </w:pPr>
    </w:lvl>
    <w:lvl w:ilvl="3" w:tplc="0F767C76">
      <w:start w:val="1"/>
      <w:numFmt w:val="bullet"/>
      <w:lvlText w:val="●"/>
      <w:lvlJc w:val="left"/>
      <w:pPr>
        <w:ind w:left="2880" w:hanging="360"/>
      </w:pPr>
    </w:lvl>
    <w:lvl w:ilvl="4" w:tplc="5B48636C">
      <w:start w:val="1"/>
      <w:numFmt w:val="bullet"/>
      <w:lvlText w:val="○"/>
      <w:lvlJc w:val="left"/>
      <w:pPr>
        <w:ind w:left="3600" w:hanging="360"/>
      </w:pPr>
    </w:lvl>
    <w:lvl w:ilvl="5" w:tplc="A9107328">
      <w:start w:val="1"/>
      <w:numFmt w:val="bullet"/>
      <w:lvlText w:val="■"/>
      <w:lvlJc w:val="left"/>
      <w:pPr>
        <w:ind w:left="4320" w:hanging="360"/>
      </w:pPr>
    </w:lvl>
    <w:lvl w:ilvl="6" w:tplc="6868B55C">
      <w:start w:val="1"/>
      <w:numFmt w:val="bullet"/>
      <w:lvlText w:val="●"/>
      <w:lvlJc w:val="left"/>
      <w:pPr>
        <w:ind w:left="5040" w:hanging="360"/>
      </w:pPr>
    </w:lvl>
    <w:lvl w:ilvl="7" w:tplc="098EDC00">
      <w:start w:val="1"/>
      <w:numFmt w:val="bullet"/>
      <w:lvlText w:val="●"/>
      <w:lvlJc w:val="left"/>
      <w:pPr>
        <w:ind w:left="5760" w:hanging="360"/>
      </w:pPr>
    </w:lvl>
    <w:lvl w:ilvl="8" w:tplc="86EA4B0A">
      <w:start w:val="1"/>
      <w:numFmt w:val="bullet"/>
      <w:lvlText w:val="●"/>
      <w:lvlJc w:val="left"/>
      <w:pPr>
        <w:ind w:left="6480" w:hanging="360"/>
      </w:pPr>
    </w:lvl>
  </w:abstractNum>
  <w:abstractNum w:abstractNumId="2" w15:restartNumberingAfterBreak="0">
    <w:nsid w:val="4BEE291C"/>
    <w:multiLevelType w:val="hybridMultilevel"/>
    <w:tmpl w:val="138EB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37493420">
    <w:abstractNumId w:val="1"/>
    <w:lvlOverride w:ilvl="0">
      <w:startOverride w:val="1"/>
    </w:lvlOverride>
  </w:num>
  <w:num w:numId="2" w16cid:durableId="47077827">
    <w:abstractNumId w:val="0"/>
    <w:lvlOverride w:ilvl="0">
      <w:startOverride w:val="1"/>
    </w:lvlOverride>
  </w:num>
  <w:num w:numId="3" w16cid:durableId="1226967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6F20"/>
    <w:rsid w:val="001E0958"/>
    <w:rsid w:val="002073C2"/>
    <w:rsid w:val="002367EB"/>
    <w:rsid w:val="00290B80"/>
    <w:rsid w:val="00316F20"/>
    <w:rsid w:val="00381F4B"/>
    <w:rsid w:val="003D3B75"/>
    <w:rsid w:val="003F6726"/>
    <w:rsid w:val="00560D30"/>
    <w:rsid w:val="0067770E"/>
    <w:rsid w:val="0068522F"/>
    <w:rsid w:val="00685D94"/>
    <w:rsid w:val="00696FB4"/>
    <w:rsid w:val="00923AE1"/>
    <w:rsid w:val="00980F95"/>
    <w:rsid w:val="00A21E70"/>
    <w:rsid w:val="00A53A10"/>
    <w:rsid w:val="00B21F64"/>
    <w:rsid w:val="00B6551C"/>
    <w:rsid w:val="00B7535F"/>
    <w:rsid w:val="00BC3EB6"/>
    <w:rsid w:val="00BE399F"/>
    <w:rsid w:val="00CC12EF"/>
    <w:rsid w:val="00DF6F2E"/>
    <w:rsid w:val="00E502B9"/>
    <w:rsid w:val="00E51C7B"/>
    <w:rsid w:val="00E833EA"/>
    <w:rsid w:val="00ED1D2D"/>
    <w:rsid w:val="00F43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AD090"/>
  <w15:docId w15:val="{C2EBC1EE-F119-4500-9782-9881566E6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39"/>
    <w:rsid w:val="002367EB"/>
    <w:rPr>
      <w:rFonts w:asciiTheme="minorHAnsi" w:eastAsiaTheme="minorHAnsi" w:hAnsiTheme="minorHAnsi" w:cstheme="minorBid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D1D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BFC5B4-A47E-418B-8060-E27218F3A0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587</Words>
  <Characters>3352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Korkut Kaynardag</cp:lastModifiedBy>
  <cp:revision>4</cp:revision>
  <dcterms:created xsi:type="dcterms:W3CDTF">2026-09-10T06:48:00Z</dcterms:created>
  <dcterms:modified xsi:type="dcterms:W3CDTF">2026-09-21T14:12:00Z</dcterms:modified>
</cp:coreProperties>
</file>